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7A29" w14:textId="6D7A107D" w:rsidR="001F06DF" w:rsidRDefault="00A12F4C" w:rsidP="00170FE6">
      <w:pPr>
        <w:jc w:val="right"/>
      </w:pPr>
      <w:r w:rsidRPr="00A12F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79C5B" wp14:editId="4494442E">
                <wp:simplePos x="0" y="0"/>
                <wp:positionH relativeFrom="column">
                  <wp:posOffset>-792480</wp:posOffset>
                </wp:positionH>
                <wp:positionV relativeFrom="paragraph">
                  <wp:posOffset>1067435</wp:posOffset>
                </wp:positionV>
                <wp:extent cx="6972300" cy="57594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5945"/>
                        </a:xfrm>
                        <a:prstGeom prst="rect">
                          <a:avLst/>
                        </a:prstGeom>
                        <a:solidFill>
                          <a:srgbClr val="83171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A23B47" w14:textId="77777777" w:rsidR="00A12F4C" w:rsidRPr="004516D5" w:rsidRDefault="00A12F4C" w:rsidP="00A12F4C">
                            <w:pPr>
                              <w:pStyle w:val="MainHeader"/>
                            </w:pPr>
                            <w:r w:rsidRPr="004516D5">
                              <w:t>Underage Drinking Prevention National Media 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2.4pt;margin-top:84.05pt;width:549pt;height:45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" fillcolor="#83171a" stroked="f">
                <v:textbox inset="14.4pt,,14.4pt">
                  <w:txbxContent>
                    <w:p w14:paraId="77A23B47" w14:textId="77777777" w:rsidR="00A12F4C" w:rsidRPr="004516D5" w:rsidRDefault="00A12F4C" w:rsidP="00A12F4C">
                      <w:pPr>
                        <w:pStyle w:val="MainHeader"/>
                      </w:pPr>
                      <w:r w:rsidRPr="004516D5">
                        <w:t>Underage Drinking Prevention National Media Campaign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B06">
        <w:rPr>
          <w:noProof/>
        </w:rPr>
        <w:drawing>
          <wp:inline distT="0" distB="0" distL="0" distR="0" wp14:anchorId="2F4F6DA9" wp14:editId="09657796">
            <wp:extent cx="1347656" cy="886968"/>
            <wp:effectExtent l="0" t="0" r="0" b="0"/>
            <wp:docPr id="1" name="Picture 1" descr="Talk they Hear y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HSA_Talk_Logo_Black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7" t="28929" r="22357" b="24015"/>
                    <a:stretch/>
                  </pic:blipFill>
                  <pic:spPr bwMode="auto">
                    <a:xfrm>
                      <a:off x="0" y="0"/>
                      <a:ext cx="1356045" cy="892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919F2" w14:textId="441426F4" w:rsidR="004C03D1" w:rsidRDefault="00621E65" w:rsidP="004C03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8F24A" wp14:editId="55B4E7BD">
                <wp:simplePos x="0" y="0"/>
                <wp:positionH relativeFrom="column">
                  <wp:posOffset>0</wp:posOffset>
                </wp:positionH>
                <wp:positionV relativeFrom="paragraph">
                  <wp:posOffset>828040</wp:posOffset>
                </wp:positionV>
                <wp:extent cx="264795" cy="228600"/>
                <wp:effectExtent l="0" t="0" r="0" b="0"/>
                <wp:wrapThrough wrapText="bothSides">
                  <wp:wrapPolygon edited="0">
                    <wp:start x="21600" y="21600"/>
                    <wp:lineTo x="21600" y="16800"/>
                    <wp:lineTo x="17456" y="2400"/>
                    <wp:lineTo x="7096" y="2400"/>
                    <wp:lineTo x="2953" y="16800"/>
                    <wp:lineTo x="2953" y="21600"/>
                    <wp:lineTo x="21600" y="21600"/>
                  </wp:wrapPolygon>
                </wp:wrapThrough>
                <wp:docPr id="4" name="Isosceles Triangle 4" descr="Fig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alt="Description: Figure" style="position:absolute;margin-left:0;margin-top:65.2pt;width:20.85pt;height:18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" fillcolor="black [3213]" stroked="f">
                <w10:wrap type="through"/>
              </v:shape>
            </w:pict>
          </mc:Fallback>
        </mc:AlternateContent>
      </w:r>
      <w:r w:rsidR="00847B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8A20" wp14:editId="1A15703A">
                <wp:simplePos x="0" y="0"/>
                <wp:positionH relativeFrom="column">
                  <wp:posOffset>-114300</wp:posOffset>
                </wp:positionH>
                <wp:positionV relativeFrom="paragraph">
                  <wp:posOffset>599440</wp:posOffset>
                </wp:positionV>
                <wp:extent cx="6515100" cy="3429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CCB2A" w14:textId="77777777" w:rsidR="00EA7202" w:rsidRPr="00E54D36" w:rsidRDefault="00EA7202" w:rsidP="00E54D36">
                            <w:pPr>
                              <w:pStyle w:val="SecondHeader"/>
                              <w:rPr>
                                <w:sz w:val="26"/>
                                <w:szCs w:val="26"/>
                              </w:rPr>
                            </w:pPr>
                            <w:r w:rsidRPr="00E54D36">
                              <w:rPr>
                                <w:sz w:val="26"/>
                                <w:szCs w:val="26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9pt;margin-top:47.2pt;width:51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" fillcolor="black [3213]" stroked="f">
                <v:textbox inset="14.4pt,,14.4pt">
                  <w:txbxContent>
                    <w:p w14:paraId="13ACCB2A" w14:textId="77777777" w:rsidR="00EA7202" w:rsidRPr="00E54D36" w:rsidRDefault="00EA7202" w:rsidP="00E54D36">
                      <w:pPr>
                        <w:pStyle w:val="SecondHeader"/>
                        <w:rPr>
                          <w:sz w:val="26"/>
                          <w:szCs w:val="26"/>
                        </w:rPr>
                      </w:pPr>
                      <w:r w:rsidRPr="00E54D36">
                        <w:rPr>
                          <w:sz w:val="26"/>
                          <w:szCs w:val="26"/>
                        </w:rPr>
                        <w:t>Fact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B7955" w14:textId="164C4092" w:rsidR="00630948" w:rsidRPr="0078419C" w:rsidRDefault="00630948" w:rsidP="00E54D36">
      <w:pPr>
        <w:rPr>
          <w:sz w:val="20"/>
        </w:rPr>
      </w:pPr>
      <w:r w:rsidRPr="0078419C">
        <w:rPr>
          <w:sz w:val="22"/>
        </w:rPr>
        <w:t>The Substance Abuse and Mental Health Services Administration (SAMHSA) Underage Drinking Prevention National Media Campaign’s (the Campaign</w:t>
      </w:r>
      <w:r w:rsidR="00871BDA">
        <w:rPr>
          <w:sz w:val="22"/>
        </w:rPr>
        <w:t>’s</w:t>
      </w:r>
      <w:r w:rsidRPr="0078419C">
        <w:rPr>
          <w:sz w:val="22"/>
        </w:rPr>
        <w:t xml:space="preserve">) goal is to reduce underage drinking among youth ages 9 to 15 by providing their parents and caregivers with the resources they need to properly address this issue with their children early. </w:t>
      </w:r>
      <w:r w:rsidR="0078419C">
        <w:rPr>
          <w:sz w:val="22"/>
        </w:rPr>
        <w:t xml:space="preserve"> </w:t>
      </w:r>
      <w:r w:rsidRPr="0078419C">
        <w:rPr>
          <w:sz w:val="22"/>
        </w:rPr>
        <w:t>The Campaign seeks to:</w:t>
      </w:r>
    </w:p>
    <w:p w14:paraId="0A97D161" w14:textId="53813577" w:rsidR="00E62650" w:rsidRPr="0078419C" w:rsidRDefault="00630948" w:rsidP="00A94D65">
      <w:pPr>
        <w:pStyle w:val="Bullet1"/>
        <w:rPr>
          <w:sz w:val="22"/>
        </w:rPr>
      </w:pPr>
      <w:r w:rsidRPr="0078419C">
        <w:rPr>
          <w:sz w:val="22"/>
        </w:rPr>
        <w:t xml:space="preserve">Increase parents’ awareness of the prevalence and risks of underage drinking; </w:t>
      </w:r>
    </w:p>
    <w:p w14:paraId="5F4775DB" w14:textId="35B84D22" w:rsidR="00630948" w:rsidRPr="0078419C" w:rsidRDefault="00630948" w:rsidP="00A94D65">
      <w:pPr>
        <w:pStyle w:val="Bullet1"/>
        <w:rPr>
          <w:sz w:val="22"/>
        </w:rPr>
      </w:pPr>
      <w:r w:rsidRPr="0078419C">
        <w:rPr>
          <w:sz w:val="22"/>
        </w:rPr>
        <w:t xml:space="preserve">Equip parents with the knowledge, skills, and confidence to prevent underage drinking; and </w:t>
      </w:r>
    </w:p>
    <w:p w14:paraId="7BBA50BD" w14:textId="7A73EF88" w:rsidR="00630948" w:rsidRPr="0078419C" w:rsidRDefault="00630948" w:rsidP="00A94D65">
      <w:pPr>
        <w:pStyle w:val="Bullet1"/>
        <w:rPr>
          <w:sz w:val="22"/>
        </w:rPr>
      </w:pPr>
      <w:r w:rsidRPr="0078419C">
        <w:rPr>
          <w:sz w:val="22"/>
        </w:rPr>
        <w:t>Increase actions by parents to prevent underage drinking.</w:t>
      </w:r>
    </w:p>
    <w:p w14:paraId="7D4825BD" w14:textId="3BE29712" w:rsidR="00621E65" w:rsidRPr="0078419C" w:rsidRDefault="00621E65" w:rsidP="00AD6345">
      <w:pPr>
        <w:pStyle w:val="ThirdHeader"/>
      </w:pPr>
      <w:r w:rsidRPr="0078419C">
        <w:t xml:space="preserve">Underage Drinking </w:t>
      </w:r>
      <w:r w:rsidR="00396627">
        <w:t>I</w:t>
      </w:r>
      <w:r w:rsidRPr="0078419C">
        <w:t>s a Serious Problem</w:t>
      </w:r>
    </w:p>
    <w:p w14:paraId="583E7C6D" w14:textId="57BED346" w:rsidR="00E62650" w:rsidRPr="0078419C" w:rsidRDefault="00535A73" w:rsidP="00A94D65">
      <w:pPr>
        <w:pStyle w:val="Bullet1"/>
        <w:rPr>
          <w:sz w:val="22"/>
        </w:rPr>
      </w:pPr>
      <w:r>
        <w:rPr>
          <w:sz w:val="22"/>
        </w:rPr>
        <w:t>According to SAMHSA’s National Survey on Drug Use and Health, i</w:t>
      </w:r>
      <w:r w:rsidR="00630948" w:rsidRPr="0078419C">
        <w:rPr>
          <w:sz w:val="22"/>
        </w:rPr>
        <w:t xml:space="preserve">n the United States, an estimated 10 million people </w:t>
      </w:r>
      <w:r w:rsidR="00396627">
        <w:rPr>
          <w:sz w:val="22"/>
        </w:rPr>
        <w:t>younger than</w:t>
      </w:r>
      <w:r w:rsidR="00396627" w:rsidRPr="0078419C">
        <w:rPr>
          <w:sz w:val="22"/>
        </w:rPr>
        <w:t xml:space="preserve"> </w:t>
      </w:r>
      <w:r w:rsidR="00630948" w:rsidRPr="0078419C">
        <w:rPr>
          <w:sz w:val="22"/>
        </w:rPr>
        <w:t>the age of 21 drank alcohol in the past month.</w:t>
      </w:r>
      <w:r w:rsidR="00630948" w:rsidRPr="0078419C">
        <w:rPr>
          <w:sz w:val="22"/>
          <w:vertAlign w:val="superscript"/>
        </w:rPr>
        <w:t>1</w:t>
      </w:r>
    </w:p>
    <w:p w14:paraId="3940414F" w14:textId="00529F63" w:rsidR="00630948" w:rsidRPr="0078419C" w:rsidRDefault="00630948" w:rsidP="00A94D65">
      <w:pPr>
        <w:pStyle w:val="Bullet1"/>
        <w:rPr>
          <w:sz w:val="22"/>
        </w:rPr>
      </w:pPr>
      <w:r w:rsidRPr="0078419C">
        <w:rPr>
          <w:sz w:val="22"/>
        </w:rPr>
        <w:t>Many young people start drinking before the age of 15.</w:t>
      </w:r>
      <w:r w:rsidRPr="0078419C">
        <w:rPr>
          <w:sz w:val="22"/>
          <w:vertAlign w:val="superscript"/>
        </w:rPr>
        <w:t>2</w:t>
      </w:r>
    </w:p>
    <w:p w14:paraId="03351702" w14:textId="19A28A19" w:rsidR="00630948" w:rsidRPr="0078419C" w:rsidRDefault="00630948" w:rsidP="00A94D65">
      <w:pPr>
        <w:pStyle w:val="Bullet1"/>
        <w:rPr>
          <w:sz w:val="22"/>
        </w:rPr>
      </w:pPr>
      <w:r w:rsidRPr="0078419C">
        <w:rPr>
          <w:sz w:val="22"/>
        </w:rPr>
        <w:t>The 2009 Youth Risk Behavior Survey</w:t>
      </w:r>
      <w:r w:rsidRPr="0078419C">
        <w:rPr>
          <w:sz w:val="22"/>
          <w:vertAlign w:val="superscript"/>
        </w:rPr>
        <w:t>3</w:t>
      </w:r>
      <w:r w:rsidRPr="0078419C">
        <w:rPr>
          <w:sz w:val="22"/>
        </w:rPr>
        <w:t xml:space="preserve"> found that during the past 30 days:</w:t>
      </w:r>
    </w:p>
    <w:p w14:paraId="3A60D16F" w14:textId="2B9D82EA" w:rsidR="00621E65" w:rsidRPr="0078419C" w:rsidRDefault="00630948" w:rsidP="00A94D65">
      <w:pPr>
        <w:pStyle w:val="Bullet2"/>
        <w:rPr>
          <w:sz w:val="22"/>
        </w:rPr>
      </w:pPr>
      <w:r w:rsidRPr="0078419C">
        <w:rPr>
          <w:sz w:val="22"/>
        </w:rPr>
        <w:t xml:space="preserve">42 percent of high school students drank some amount of alcohol; </w:t>
      </w:r>
    </w:p>
    <w:p w14:paraId="7AF1DC4D" w14:textId="1C0DC07E" w:rsidR="00630948" w:rsidRPr="0078419C" w:rsidRDefault="00630948" w:rsidP="00A12F4C">
      <w:pPr>
        <w:pStyle w:val="Bullet2"/>
        <w:rPr>
          <w:sz w:val="22"/>
        </w:rPr>
      </w:pPr>
      <w:r w:rsidRPr="0078419C">
        <w:rPr>
          <w:sz w:val="22"/>
        </w:rPr>
        <w:t xml:space="preserve">24 percent of high school students binge drank; </w:t>
      </w:r>
    </w:p>
    <w:p w14:paraId="54B4181C" w14:textId="5CCF1D6F" w:rsidR="00630948" w:rsidRPr="0078419C" w:rsidRDefault="00860FCC" w:rsidP="00A12F4C">
      <w:pPr>
        <w:pStyle w:val="Bullet2"/>
        <w:rPr>
          <w:sz w:val="22"/>
        </w:rPr>
      </w:pPr>
      <w:r w:rsidRPr="0078419C">
        <w:rPr>
          <w:sz w:val="22"/>
        </w:rPr>
        <w:t>10 percent of high school students drove after drinking alcohol; and</w:t>
      </w:r>
    </w:p>
    <w:p w14:paraId="10A90325" w14:textId="4C28652D" w:rsidR="00860FCC" w:rsidRPr="0078419C" w:rsidRDefault="00860FCC" w:rsidP="00A12F4C">
      <w:pPr>
        <w:pStyle w:val="Bullet2"/>
        <w:rPr>
          <w:sz w:val="22"/>
        </w:rPr>
      </w:pPr>
      <w:r w:rsidRPr="0078419C">
        <w:rPr>
          <w:sz w:val="22"/>
        </w:rPr>
        <w:t>28 percent of high school students rode with a driver who had been drinking alcohol.</w:t>
      </w:r>
    </w:p>
    <w:p w14:paraId="5C5B99E7" w14:textId="36FDD9A0" w:rsidR="00860FCC" w:rsidRPr="0078419C" w:rsidRDefault="00860FCC" w:rsidP="00A12F4C">
      <w:pPr>
        <w:pStyle w:val="Bullet1"/>
        <w:rPr>
          <w:sz w:val="22"/>
        </w:rPr>
      </w:pPr>
      <w:r w:rsidRPr="0078419C">
        <w:rPr>
          <w:sz w:val="22"/>
        </w:rPr>
        <w:t xml:space="preserve">The Monitoring the Future </w:t>
      </w:r>
      <w:r w:rsidR="00871BDA">
        <w:rPr>
          <w:sz w:val="22"/>
        </w:rPr>
        <w:t>s</w:t>
      </w:r>
      <w:r w:rsidRPr="0078419C">
        <w:rPr>
          <w:sz w:val="22"/>
        </w:rPr>
        <w:t>urvey</w:t>
      </w:r>
      <w:r w:rsidRPr="0078419C">
        <w:rPr>
          <w:sz w:val="22"/>
          <w:vertAlign w:val="superscript"/>
        </w:rPr>
        <w:t>4</w:t>
      </w:r>
      <w:r w:rsidRPr="0078419C">
        <w:rPr>
          <w:sz w:val="22"/>
        </w:rPr>
        <w:t xml:space="preserve"> found that: </w:t>
      </w:r>
    </w:p>
    <w:p w14:paraId="2B20C1D4" w14:textId="3DF3F621" w:rsidR="00860FCC" w:rsidRPr="0078419C" w:rsidRDefault="00860FCC" w:rsidP="00A12F4C">
      <w:pPr>
        <w:pStyle w:val="Bullet2"/>
        <w:rPr>
          <w:sz w:val="22"/>
        </w:rPr>
      </w:pPr>
      <w:r w:rsidRPr="0078419C">
        <w:rPr>
          <w:sz w:val="22"/>
        </w:rPr>
        <w:t xml:space="preserve">33 percent of 8th graders and 70 percent of 12th graders in the United States said they tried alcohol at some time in their lives; </w:t>
      </w:r>
    </w:p>
    <w:p w14:paraId="22496000" w14:textId="55DDFA41" w:rsidR="00A12F4C" w:rsidRPr="0078419C" w:rsidRDefault="00860FCC" w:rsidP="00A12F4C">
      <w:pPr>
        <w:pStyle w:val="Bullet2"/>
        <w:numPr>
          <w:ilvl w:val="0"/>
          <w:numId w:val="0"/>
        </w:numPr>
        <w:ind w:left="1440"/>
        <w:rPr>
          <w:sz w:val="22"/>
        </w:rPr>
      </w:pPr>
      <w:r w:rsidRPr="0078419C">
        <w:rPr>
          <w:sz w:val="22"/>
        </w:rPr>
        <w:t xml:space="preserve">13 percent of 8th graders and 27 percent of 10th graders said that they had consumed alcohol in the month before the survey; and </w:t>
      </w:r>
    </w:p>
    <w:p w14:paraId="3FD6718B" w14:textId="79D244F6" w:rsidR="00A94D65" w:rsidRPr="0078419C" w:rsidRDefault="00860FCC" w:rsidP="007E109C">
      <w:pPr>
        <w:pStyle w:val="Bullet2"/>
        <w:rPr>
          <w:sz w:val="22"/>
        </w:rPr>
      </w:pPr>
      <w:r w:rsidRPr="0078419C">
        <w:rPr>
          <w:sz w:val="22"/>
        </w:rPr>
        <w:t>65 percent of teens who do drink reported that they get drunk in a typical month.</w:t>
      </w:r>
      <w:r w:rsidRPr="0078419C">
        <w:rPr>
          <w:sz w:val="22"/>
          <w:vertAlign w:val="superscript"/>
        </w:rPr>
        <w:t xml:space="preserve">5 </w:t>
      </w:r>
    </w:p>
    <w:p w14:paraId="5FACA3B3" w14:textId="014B54F9" w:rsidR="008778D7" w:rsidRPr="0078419C" w:rsidRDefault="008778D7" w:rsidP="00AD6345">
      <w:pPr>
        <w:pStyle w:val="ThirdHeader"/>
      </w:pPr>
      <w:r w:rsidRPr="0078419C">
        <w:lastRenderedPageBreak/>
        <w:t>The Consequences of Underage Drinking Can Be Devastating</w:t>
      </w:r>
    </w:p>
    <w:p w14:paraId="4FD129AF" w14:textId="263907DA" w:rsidR="008778D7" w:rsidRPr="0078419C" w:rsidRDefault="008778D7" w:rsidP="00E54D36">
      <w:pPr>
        <w:spacing w:before="240" w:after="240"/>
        <w:rPr>
          <w:sz w:val="22"/>
        </w:rPr>
      </w:pPr>
      <w:r w:rsidRPr="0078419C">
        <w:rPr>
          <w:sz w:val="22"/>
        </w:rPr>
        <w:t xml:space="preserve">The consequences of underage of underage drinking can include: </w:t>
      </w:r>
    </w:p>
    <w:p w14:paraId="7D1103B5" w14:textId="34F33F2E" w:rsidR="008778D7" w:rsidRPr="0078419C" w:rsidRDefault="0024150D" w:rsidP="00A12F4C">
      <w:pPr>
        <w:pStyle w:val="Bullet1"/>
        <w:rPr>
          <w:sz w:val="22"/>
        </w:rPr>
      </w:pPr>
      <w:r w:rsidRPr="0078419C">
        <w:rPr>
          <w:sz w:val="22"/>
        </w:rPr>
        <w:t>Injury or death from accidents;</w:t>
      </w:r>
      <w:r w:rsidRPr="0078419C">
        <w:rPr>
          <w:sz w:val="22"/>
          <w:vertAlign w:val="superscript"/>
        </w:rPr>
        <w:t>6</w:t>
      </w:r>
    </w:p>
    <w:p w14:paraId="6439192A" w14:textId="4563656D" w:rsidR="00860FCC" w:rsidRPr="0078419C" w:rsidRDefault="0024150D" w:rsidP="00A12F4C">
      <w:pPr>
        <w:pStyle w:val="Bullet1"/>
        <w:rPr>
          <w:sz w:val="22"/>
        </w:rPr>
      </w:pPr>
      <w:r w:rsidRPr="0078419C">
        <w:rPr>
          <w:sz w:val="22"/>
        </w:rPr>
        <w:t>Unintended, unwanted, and unprotected sexual activity;</w:t>
      </w:r>
      <w:r w:rsidRPr="0078419C">
        <w:rPr>
          <w:sz w:val="22"/>
          <w:vertAlign w:val="superscript"/>
        </w:rPr>
        <w:t>7,8</w:t>
      </w:r>
    </w:p>
    <w:p w14:paraId="2D0F9CEC" w14:textId="6C310DF5" w:rsidR="0024150D" w:rsidRPr="0078419C" w:rsidRDefault="0024150D" w:rsidP="00A12F4C">
      <w:pPr>
        <w:pStyle w:val="Bullet1"/>
        <w:rPr>
          <w:sz w:val="22"/>
        </w:rPr>
      </w:pPr>
      <w:r w:rsidRPr="0078419C">
        <w:rPr>
          <w:sz w:val="22"/>
        </w:rPr>
        <w:t>Health problems such as depression and anxiety disorders;</w:t>
      </w:r>
      <w:r w:rsidRPr="0078419C">
        <w:rPr>
          <w:sz w:val="22"/>
          <w:vertAlign w:val="superscript"/>
        </w:rPr>
        <w:t>9</w:t>
      </w:r>
    </w:p>
    <w:p w14:paraId="366815A9" w14:textId="0600AD36" w:rsidR="0024150D" w:rsidRPr="0078419C" w:rsidRDefault="0024150D" w:rsidP="00A12F4C">
      <w:pPr>
        <w:pStyle w:val="Bullet1"/>
        <w:rPr>
          <w:sz w:val="22"/>
        </w:rPr>
      </w:pPr>
      <w:r w:rsidRPr="0078419C">
        <w:rPr>
          <w:sz w:val="22"/>
        </w:rPr>
        <w:t>Academic problems;</w:t>
      </w:r>
      <w:r w:rsidRPr="0078419C">
        <w:rPr>
          <w:sz w:val="22"/>
          <w:vertAlign w:val="superscript"/>
        </w:rPr>
        <w:t>10</w:t>
      </w:r>
      <w:r w:rsidRPr="0078419C">
        <w:rPr>
          <w:sz w:val="22"/>
        </w:rPr>
        <w:t xml:space="preserve"> and</w:t>
      </w:r>
    </w:p>
    <w:p w14:paraId="386529D2" w14:textId="460F1D24" w:rsidR="0024150D" w:rsidRPr="0078419C" w:rsidRDefault="0024150D" w:rsidP="00A12F4C">
      <w:pPr>
        <w:pStyle w:val="Bullet1"/>
        <w:rPr>
          <w:sz w:val="22"/>
        </w:rPr>
      </w:pPr>
      <w:r w:rsidRPr="0078419C">
        <w:rPr>
          <w:sz w:val="22"/>
        </w:rPr>
        <w:t>Drug use.</w:t>
      </w:r>
      <w:r w:rsidRPr="0078419C">
        <w:rPr>
          <w:sz w:val="22"/>
          <w:vertAlign w:val="superscript"/>
        </w:rPr>
        <w:t>11</w:t>
      </w:r>
    </w:p>
    <w:p w14:paraId="46FE69D7" w14:textId="3E9D27BF" w:rsidR="0024150D" w:rsidRPr="0078419C" w:rsidRDefault="00742484" w:rsidP="00AD6345">
      <w:pPr>
        <w:pStyle w:val="ThirdHeader"/>
      </w:pPr>
      <w:r w:rsidRPr="0078419C">
        <w:t>Parents Do Not Feel</w:t>
      </w:r>
      <w:r w:rsidR="0069754D">
        <w:t xml:space="preserve"> Fully Prepared to Address the I</w:t>
      </w:r>
      <w:r w:rsidRPr="0078419C">
        <w:t>ssue of Underage Drinking</w:t>
      </w:r>
    </w:p>
    <w:p w14:paraId="420B1BEE" w14:textId="4392A0B9" w:rsidR="00742484" w:rsidRPr="0078419C" w:rsidRDefault="00742484" w:rsidP="00E54D36">
      <w:pPr>
        <w:spacing w:before="240" w:after="240"/>
        <w:rPr>
          <w:sz w:val="22"/>
        </w:rPr>
      </w:pPr>
      <w:r w:rsidRPr="0078419C">
        <w:rPr>
          <w:sz w:val="22"/>
        </w:rPr>
        <w:t xml:space="preserve">Many parents with children between the ages of 9 </w:t>
      </w:r>
      <w:r w:rsidR="0069754D">
        <w:rPr>
          <w:sz w:val="22"/>
        </w:rPr>
        <w:t xml:space="preserve">and </w:t>
      </w:r>
      <w:r w:rsidRPr="0078419C">
        <w:rPr>
          <w:sz w:val="22"/>
        </w:rPr>
        <w:t>15 know that peer pressure and media influences can often lead to underage drinking.</w:t>
      </w:r>
      <w:r w:rsidR="0078419C">
        <w:rPr>
          <w:sz w:val="22"/>
        </w:rPr>
        <w:t xml:space="preserve"> </w:t>
      </w:r>
      <w:r w:rsidRPr="0078419C">
        <w:rPr>
          <w:sz w:val="22"/>
        </w:rPr>
        <w:t xml:space="preserve"> However, they are not fully aware of the immediate dangers of </w:t>
      </w:r>
      <w:r w:rsidR="00871BDA">
        <w:rPr>
          <w:sz w:val="22"/>
        </w:rPr>
        <w:t xml:space="preserve">their children’s </w:t>
      </w:r>
      <w:r w:rsidRPr="0078419C">
        <w:rPr>
          <w:sz w:val="22"/>
        </w:rPr>
        <w:t>alcohol consumption.</w:t>
      </w:r>
      <w:r w:rsidR="0078419C">
        <w:rPr>
          <w:sz w:val="22"/>
        </w:rPr>
        <w:t xml:space="preserve"> </w:t>
      </w:r>
      <w:r w:rsidRPr="0078419C">
        <w:rPr>
          <w:sz w:val="22"/>
        </w:rPr>
        <w:t xml:space="preserve"> Statistics that point to the common nature of underage drinking can be shocking and unbelievable to some parents. </w:t>
      </w:r>
      <w:r w:rsidR="0078419C">
        <w:rPr>
          <w:sz w:val="22"/>
        </w:rPr>
        <w:t xml:space="preserve"> </w:t>
      </w:r>
      <w:r w:rsidRPr="0078419C">
        <w:rPr>
          <w:sz w:val="22"/>
        </w:rPr>
        <w:t>Furthermore, parents often do not feel equipped with the information or resources they need to properly address underage drinking with their children.</w:t>
      </w:r>
    </w:p>
    <w:p w14:paraId="2C4686F2" w14:textId="35D8DC82" w:rsidR="00742484" w:rsidRPr="0078419C" w:rsidRDefault="00742484" w:rsidP="00AD6345">
      <w:pPr>
        <w:pStyle w:val="ThirdHeader"/>
      </w:pPr>
      <w:r w:rsidRPr="0078419C">
        <w:t>The Campaign Seeks to Give Parents Knowledge, Resources, and Confidence</w:t>
      </w:r>
    </w:p>
    <w:p w14:paraId="1E24C686" w14:textId="01F845F3" w:rsidR="00742484" w:rsidRPr="0078419C" w:rsidRDefault="00742484" w:rsidP="00E54D36">
      <w:pPr>
        <w:spacing w:before="240" w:after="240"/>
        <w:rPr>
          <w:sz w:val="22"/>
        </w:rPr>
      </w:pPr>
      <w:r w:rsidRPr="0078419C">
        <w:rPr>
          <w:sz w:val="22"/>
        </w:rPr>
        <w:t xml:space="preserve">The Campaign will use radio, television, and print </w:t>
      </w:r>
      <w:r w:rsidR="0069754D">
        <w:rPr>
          <w:sz w:val="22"/>
        </w:rPr>
        <w:t xml:space="preserve">public service announcements (PSAs); </w:t>
      </w:r>
      <w:r w:rsidRPr="0078419C">
        <w:rPr>
          <w:sz w:val="22"/>
        </w:rPr>
        <w:t xml:space="preserve">social media; </w:t>
      </w:r>
      <w:r w:rsidR="0069754D">
        <w:rPr>
          <w:sz w:val="22"/>
        </w:rPr>
        <w:t xml:space="preserve">the Campaign’s website </w:t>
      </w:r>
      <w:hyperlink r:id="rId10" w:tooltip="SAMHSA Website" w:history="1">
        <w:r w:rsidR="0069754D" w:rsidRPr="001B43A3">
          <w:rPr>
            <w:rStyle w:val="Hyperlink"/>
            <w:sz w:val="22"/>
          </w:rPr>
          <w:t>www.underagedrinking.samhsa.gov</w:t>
        </w:r>
      </w:hyperlink>
      <w:r w:rsidR="0069754D">
        <w:rPr>
          <w:sz w:val="22"/>
        </w:rPr>
        <w:t xml:space="preserve">; </w:t>
      </w:r>
      <w:r w:rsidRPr="0078419C">
        <w:rPr>
          <w:sz w:val="22"/>
        </w:rPr>
        <w:t xml:space="preserve">partnership networks; and direct outreach to help parents feel more confident when talking to their children about alcohol. </w:t>
      </w:r>
      <w:r w:rsidR="0078419C">
        <w:rPr>
          <w:sz w:val="22"/>
        </w:rPr>
        <w:t xml:space="preserve"> </w:t>
      </w:r>
      <w:r w:rsidRPr="0078419C">
        <w:rPr>
          <w:sz w:val="22"/>
        </w:rPr>
        <w:t>Messages will:</w:t>
      </w:r>
    </w:p>
    <w:p w14:paraId="2646A3F2" w14:textId="77777777" w:rsidR="00742484" w:rsidRPr="0078419C" w:rsidRDefault="00742484" w:rsidP="00A94D65">
      <w:pPr>
        <w:pStyle w:val="Bullet1"/>
        <w:rPr>
          <w:sz w:val="22"/>
        </w:rPr>
      </w:pPr>
      <w:r w:rsidRPr="0078419C">
        <w:rPr>
          <w:sz w:val="22"/>
        </w:rPr>
        <w:t>Emphasize the importance of parents talking to their kids about underage drinking before they reach the age range when alcohol use typically begins (before the age of 15);</w:t>
      </w:r>
    </w:p>
    <w:p w14:paraId="2ED7386E" w14:textId="0D36F98F" w:rsidR="00742484" w:rsidRPr="0078419C" w:rsidRDefault="00742484" w:rsidP="00A12F4C">
      <w:pPr>
        <w:pStyle w:val="Bullet1"/>
        <w:rPr>
          <w:sz w:val="22"/>
        </w:rPr>
      </w:pPr>
      <w:r w:rsidRPr="0078419C">
        <w:rPr>
          <w:sz w:val="22"/>
        </w:rPr>
        <w:t>Offer advice to parents about preparing children to deal with peer pressure issues that may lead to alcohol abuse;</w:t>
      </w:r>
    </w:p>
    <w:p w14:paraId="4367D0C8" w14:textId="299A18D9" w:rsidR="00742484" w:rsidRPr="0078419C" w:rsidRDefault="00742484" w:rsidP="00A12F4C">
      <w:pPr>
        <w:pStyle w:val="Bullet1"/>
        <w:rPr>
          <w:sz w:val="22"/>
        </w:rPr>
      </w:pPr>
      <w:r w:rsidRPr="0078419C">
        <w:rPr>
          <w:sz w:val="22"/>
        </w:rPr>
        <w:t>Highlight underage drinking statistics that are likely to catch parents’ attention;</w:t>
      </w:r>
    </w:p>
    <w:p w14:paraId="096E0E17" w14:textId="0A2130C6" w:rsidR="004C03D1" w:rsidRPr="0078419C" w:rsidRDefault="00742484" w:rsidP="004C03D1">
      <w:pPr>
        <w:pStyle w:val="Bullet1"/>
        <w:rPr>
          <w:sz w:val="22"/>
        </w:rPr>
      </w:pPr>
      <w:r w:rsidRPr="0078419C">
        <w:rPr>
          <w:sz w:val="22"/>
        </w:rPr>
        <w:t>Focus on helping parents address the issue of underage drinking in a manner that emphasizes their children’s ability to make autonomous decisions; and</w:t>
      </w:r>
    </w:p>
    <w:p w14:paraId="4DCEC7C0" w14:textId="62A1D1ED" w:rsidR="00742484" w:rsidRPr="0078419C" w:rsidRDefault="00742484" w:rsidP="00A12F4C">
      <w:pPr>
        <w:pStyle w:val="Bullet1"/>
        <w:rPr>
          <w:sz w:val="22"/>
        </w:rPr>
      </w:pPr>
      <w:r w:rsidRPr="0078419C">
        <w:rPr>
          <w:sz w:val="22"/>
        </w:rPr>
        <w:t>Model behaviors and situations when parents can begin the conversation about the dangers of alcohol with their children.</w:t>
      </w:r>
    </w:p>
    <w:p w14:paraId="0E5947E9" w14:textId="39264F4F" w:rsidR="00742484" w:rsidRPr="00E54D36" w:rsidRDefault="00742484" w:rsidP="00AD6345">
      <w:pPr>
        <w:pStyle w:val="ThirdHeader"/>
        <w:spacing w:before="600"/>
      </w:pPr>
      <w:r w:rsidRPr="00E54D36">
        <w:lastRenderedPageBreak/>
        <w:t>References</w:t>
      </w:r>
    </w:p>
    <w:p w14:paraId="2D5E7B7C" w14:textId="2332006A" w:rsidR="00742484" w:rsidRPr="00E54D36" w:rsidRDefault="00742484" w:rsidP="00E54D36">
      <w:pPr>
        <w:rPr>
          <w:sz w:val="16"/>
        </w:rPr>
      </w:pPr>
      <w:proofErr w:type="gramStart"/>
      <w:r w:rsidRPr="00E54D36">
        <w:rPr>
          <w:sz w:val="16"/>
        </w:rPr>
        <w:t xml:space="preserve">1, 2   </w:t>
      </w:r>
      <w:r w:rsidR="0078419C">
        <w:rPr>
          <w:sz w:val="16"/>
        </w:rPr>
        <w:t xml:space="preserve"> </w:t>
      </w:r>
      <w:r w:rsidR="00871BDA" w:rsidRPr="00F82426">
        <w:rPr>
          <w:rFonts w:eastAsia="Times New Roman"/>
          <w:sz w:val="16"/>
          <w:szCs w:val="16"/>
        </w:rPr>
        <w:t>Substance Abuse and Mental Health Services Administration.</w:t>
      </w:r>
      <w:proofErr w:type="gramEnd"/>
      <w:r w:rsidR="00871BDA" w:rsidRPr="00F82426">
        <w:rPr>
          <w:rFonts w:eastAsia="Times New Roman"/>
          <w:sz w:val="16"/>
          <w:szCs w:val="16"/>
        </w:rPr>
        <w:t xml:space="preserve">  (2011)</w:t>
      </w:r>
      <w:proofErr w:type="gramStart"/>
      <w:r w:rsidR="00871BDA" w:rsidRPr="00F82426">
        <w:rPr>
          <w:rFonts w:eastAsia="Times New Roman"/>
          <w:sz w:val="16"/>
          <w:szCs w:val="16"/>
        </w:rPr>
        <w:t xml:space="preserve">.  </w:t>
      </w:r>
      <w:r w:rsidR="00871BDA" w:rsidRPr="00F82426">
        <w:rPr>
          <w:rFonts w:eastAsia="Times New Roman"/>
          <w:i/>
          <w:sz w:val="16"/>
          <w:szCs w:val="16"/>
        </w:rPr>
        <w:t>Results</w:t>
      </w:r>
      <w:proofErr w:type="gramEnd"/>
      <w:r w:rsidR="00871BDA" w:rsidRPr="00F82426">
        <w:rPr>
          <w:rFonts w:eastAsia="Times New Roman"/>
          <w:i/>
          <w:sz w:val="16"/>
          <w:szCs w:val="16"/>
        </w:rPr>
        <w:t xml:space="preserve"> from the 2010 National Survey on Drug Use and Health: Summary of National Findings</w:t>
      </w:r>
      <w:r w:rsidR="00871BDA" w:rsidRPr="00F82426">
        <w:rPr>
          <w:rFonts w:eastAsia="Times New Roman"/>
          <w:sz w:val="16"/>
          <w:szCs w:val="16"/>
        </w:rPr>
        <w:t xml:space="preserve">.  </w:t>
      </w:r>
      <w:proofErr w:type="gramStart"/>
      <w:r w:rsidR="00871BDA" w:rsidRPr="00F82426">
        <w:rPr>
          <w:rFonts w:eastAsia="Times New Roman"/>
          <w:sz w:val="16"/>
          <w:szCs w:val="16"/>
        </w:rPr>
        <w:t>NSDUH Series H-41, HHS Publication No.</w:t>
      </w:r>
      <w:proofErr w:type="gramEnd"/>
      <w:r w:rsidR="00871BDA" w:rsidRPr="00F82426">
        <w:rPr>
          <w:rFonts w:eastAsia="Times New Roman"/>
          <w:sz w:val="16"/>
          <w:szCs w:val="16"/>
        </w:rPr>
        <w:t xml:space="preserve"> (SMA) 11-4658.  Rockville, MD: Substance Abuse and Mental Health Services Administration.</w:t>
      </w:r>
    </w:p>
    <w:p w14:paraId="1CB4180B" w14:textId="7CA72753" w:rsidR="00742484" w:rsidRPr="00E54D36" w:rsidRDefault="00742484" w:rsidP="0078419C">
      <w:pPr>
        <w:rPr>
          <w:sz w:val="16"/>
        </w:rPr>
      </w:pPr>
      <w:r w:rsidRPr="00E54D36">
        <w:rPr>
          <w:sz w:val="16"/>
        </w:rPr>
        <w:t xml:space="preserve">3    Eaton, D.K., </w:t>
      </w:r>
      <w:proofErr w:type="spellStart"/>
      <w:r w:rsidRPr="00E54D36">
        <w:rPr>
          <w:sz w:val="16"/>
        </w:rPr>
        <w:t>Kann</w:t>
      </w:r>
      <w:proofErr w:type="spellEnd"/>
      <w:r w:rsidRPr="00E54D36">
        <w:rPr>
          <w:sz w:val="16"/>
        </w:rPr>
        <w:t xml:space="preserve">, L., </w:t>
      </w:r>
      <w:proofErr w:type="spellStart"/>
      <w:r w:rsidRPr="00E54D36">
        <w:rPr>
          <w:sz w:val="16"/>
        </w:rPr>
        <w:t>Kinchen</w:t>
      </w:r>
      <w:proofErr w:type="spellEnd"/>
      <w:r w:rsidRPr="00E54D36">
        <w:rPr>
          <w:sz w:val="16"/>
        </w:rPr>
        <w:t xml:space="preserve">, S., </w:t>
      </w:r>
      <w:proofErr w:type="spellStart"/>
      <w:r w:rsidRPr="00E54D36">
        <w:rPr>
          <w:sz w:val="16"/>
        </w:rPr>
        <w:t>Shanklin</w:t>
      </w:r>
      <w:proofErr w:type="spellEnd"/>
      <w:r w:rsidRPr="00E54D36">
        <w:rPr>
          <w:sz w:val="16"/>
        </w:rPr>
        <w:t xml:space="preserve">, S., Ross, J., Hawkins, J. et al. </w:t>
      </w:r>
      <w:r w:rsidR="0078419C">
        <w:rPr>
          <w:sz w:val="16"/>
        </w:rPr>
        <w:t xml:space="preserve"> </w:t>
      </w:r>
      <w:r w:rsidRPr="00E54D36">
        <w:rPr>
          <w:sz w:val="16"/>
        </w:rPr>
        <w:t xml:space="preserve">(2010, June 4). </w:t>
      </w:r>
      <w:r w:rsidR="0078419C">
        <w:rPr>
          <w:sz w:val="16"/>
        </w:rPr>
        <w:t xml:space="preserve"> </w:t>
      </w:r>
      <w:r w:rsidRPr="00E54D36">
        <w:rPr>
          <w:sz w:val="16"/>
        </w:rPr>
        <w:t xml:space="preserve">Youth </w:t>
      </w:r>
      <w:r w:rsidR="00871BDA">
        <w:rPr>
          <w:sz w:val="16"/>
        </w:rPr>
        <w:t>r</w:t>
      </w:r>
      <w:r w:rsidRPr="00E54D36">
        <w:rPr>
          <w:sz w:val="16"/>
        </w:rPr>
        <w:t xml:space="preserve">isk </w:t>
      </w:r>
      <w:r w:rsidR="00871BDA">
        <w:rPr>
          <w:sz w:val="16"/>
        </w:rPr>
        <w:t>b</w:t>
      </w:r>
      <w:r w:rsidRPr="00E54D36">
        <w:rPr>
          <w:sz w:val="16"/>
        </w:rPr>
        <w:t xml:space="preserve">ehavior </w:t>
      </w:r>
      <w:r w:rsidR="00871BDA">
        <w:rPr>
          <w:sz w:val="16"/>
        </w:rPr>
        <w:t>s</w:t>
      </w:r>
      <w:r w:rsidRPr="00E54D36">
        <w:rPr>
          <w:sz w:val="16"/>
        </w:rPr>
        <w:t xml:space="preserve">urveillance— United States, 2009. </w:t>
      </w:r>
      <w:r w:rsidR="0078419C">
        <w:rPr>
          <w:sz w:val="16"/>
        </w:rPr>
        <w:t xml:space="preserve"> </w:t>
      </w:r>
      <w:r w:rsidRPr="00A60AED">
        <w:rPr>
          <w:i/>
          <w:sz w:val="16"/>
        </w:rPr>
        <w:t>Morbidity and Mortality Weekly Report Surveillance</w:t>
      </w:r>
      <w:r w:rsidR="00871BDA">
        <w:rPr>
          <w:i/>
          <w:sz w:val="16"/>
        </w:rPr>
        <w:t xml:space="preserve"> Summaries</w:t>
      </w:r>
      <w:r w:rsidRPr="00E54D36">
        <w:rPr>
          <w:sz w:val="16"/>
        </w:rPr>
        <w:t xml:space="preserve">. </w:t>
      </w:r>
      <w:r w:rsidR="0078419C">
        <w:rPr>
          <w:sz w:val="16"/>
        </w:rPr>
        <w:t xml:space="preserve"> </w:t>
      </w:r>
      <w:r w:rsidR="00871BDA">
        <w:rPr>
          <w:sz w:val="16"/>
        </w:rPr>
        <w:t xml:space="preserve">Atlanta, GA: Centers for Disease Control and Prevention. </w:t>
      </w:r>
      <w:r w:rsidRPr="00E54D36">
        <w:rPr>
          <w:sz w:val="16"/>
        </w:rPr>
        <w:t xml:space="preserve">From </w:t>
      </w:r>
      <w:r w:rsidR="0078419C">
        <w:rPr>
          <w:sz w:val="16"/>
        </w:rPr>
        <w:br/>
      </w:r>
      <w:hyperlink r:id="rId11" w:tooltip="CDC Website" w:history="1">
        <w:r w:rsidR="0078419C" w:rsidRPr="00FF27AD">
          <w:rPr>
            <w:rStyle w:val="Hyperlink"/>
            <w:sz w:val="16"/>
          </w:rPr>
          <w:t>http://www.cdc.gov/mmwr/preview/mmwrhtml/ss5905a1.htm</w:t>
        </w:r>
      </w:hyperlink>
      <w:r w:rsidR="0078419C">
        <w:rPr>
          <w:sz w:val="16"/>
        </w:rPr>
        <w:t xml:space="preserve"> </w:t>
      </w:r>
      <w:r w:rsidRPr="00E54D36">
        <w:rPr>
          <w:sz w:val="16"/>
        </w:rPr>
        <w:t>(accessed May 3, 2012).</w:t>
      </w:r>
    </w:p>
    <w:p w14:paraId="440B2939" w14:textId="0E9B7751" w:rsidR="00742484" w:rsidRPr="00E54D36" w:rsidRDefault="00742484" w:rsidP="00E54D36">
      <w:pPr>
        <w:rPr>
          <w:sz w:val="16"/>
        </w:rPr>
      </w:pPr>
      <w:r w:rsidRPr="00E54D36">
        <w:rPr>
          <w:sz w:val="16"/>
        </w:rPr>
        <w:t xml:space="preserve">4    </w:t>
      </w:r>
      <w:r w:rsidR="00871BDA" w:rsidRPr="00F82426">
        <w:rPr>
          <w:rFonts w:eastAsia="Times New Roman"/>
          <w:sz w:val="16"/>
          <w:szCs w:val="16"/>
        </w:rPr>
        <w:t xml:space="preserve">Johnston, L.D., O’Malley, P.M., Bachman, J. G., and </w:t>
      </w:r>
      <w:proofErr w:type="spellStart"/>
      <w:r w:rsidR="00871BDA" w:rsidRPr="00F82426">
        <w:rPr>
          <w:rFonts w:eastAsia="Times New Roman"/>
          <w:sz w:val="16"/>
          <w:szCs w:val="16"/>
        </w:rPr>
        <w:t>Schulenberg</w:t>
      </w:r>
      <w:proofErr w:type="spellEnd"/>
      <w:r w:rsidR="00871BDA" w:rsidRPr="00F82426">
        <w:rPr>
          <w:rFonts w:eastAsia="Times New Roman"/>
          <w:sz w:val="16"/>
          <w:szCs w:val="16"/>
        </w:rPr>
        <w:t>, J. E.  (2012)</w:t>
      </w:r>
      <w:proofErr w:type="gramStart"/>
      <w:r w:rsidR="00871BDA" w:rsidRPr="00F82426">
        <w:rPr>
          <w:rFonts w:eastAsia="Times New Roman"/>
          <w:sz w:val="16"/>
          <w:szCs w:val="16"/>
        </w:rPr>
        <w:t xml:space="preserve">.  </w:t>
      </w:r>
      <w:r w:rsidR="00871BDA" w:rsidRPr="00F82426">
        <w:rPr>
          <w:rFonts w:eastAsia="Times New Roman"/>
          <w:i/>
          <w:sz w:val="16"/>
          <w:szCs w:val="16"/>
        </w:rPr>
        <w:t>Monitoring</w:t>
      </w:r>
      <w:proofErr w:type="gramEnd"/>
      <w:r w:rsidR="00871BDA" w:rsidRPr="00F82426">
        <w:rPr>
          <w:rFonts w:eastAsia="Times New Roman"/>
          <w:i/>
          <w:sz w:val="16"/>
          <w:szCs w:val="16"/>
        </w:rPr>
        <w:t xml:space="preserve"> the Future: National results on adolescent drug use: Overview of key findings, 2011</w:t>
      </w:r>
      <w:r w:rsidR="00871BDA" w:rsidRPr="00F82426">
        <w:rPr>
          <w:rFonts w:eastAsia="Times New Roman"/>
          <w:sz w:val="16"/>
          <w:szCs w:val="16"/>
        </w:rPr>
        <w:t xml:space="preserve">.  Ann Arbor: Institute for Social Research, </w:t>
      </w:r>
      <w:proofErr w:type="gramStart"/>
      <w:r w:rsidR="00871BDA" w:rsidRPr="00F82426">
        <w:rPr>
          <w:rFonts w:eastAsia="Times New Roman"/>
          <w:sz w:val="16"/>
          <w:szCs w:val="16"/>
        </w:rPr>
        <w:t>The</w:t>
      </w:r>
      <w:proofErr w:type="gramEnd"/>
      <w:r w:rsidR="00871BDA" w:rsidRPr="00F82426">
        <w:rPr>
          <w:rFonts w:eastAsia="Times New Roman"/>
          <w:sz w:val="16"/>
          <w:szCs w:val="16"/>
        </w:rPr>
        <w:t xml:space="preserve"> University of Michigan.</w:t>
      </w:r>
    </w:p>
    <w:p w14:paraId="7B3957A1" w14:textId="7E44C19A" w:rsidR="00742484" w:rsidRPr="00E54D36" w:rsidRDefault="00742484" w:rsidP="00E54D36">
      <w:pPr>
        <w:rPr>
          <w:sz w:val="16"/>
        </w:rPr>
      </w:pPr>
      <w:r w:rsidRPr="00E54D36">
        <w:rPr>
          <w:sz w:val="16"/>
        </w:rPr>
        <w:t>5    The National Center on Addiction and Substance Abuse at Columbia University.</w:t>
      </w:r>
      <w:r w:rsidR="0078419C">
        <w:rPr>
          <w:sz w:val="16"/>
        </w:rPr>
        <w:t xml:space="preserve"> </w:t>
      </w:r>
      <w:r w:rsidRPr="00E54D36">
        <w:rPr>
          <w:sz w:val="16"/>
        </w:rPr>
        <w:t xml:space="preserve"> (2009)</w:t>
      </w:r>
      <w:proofErr w:type="gramStart"/>
      <w:r w:rsidRPr="00E54D36">
        <w:rPr>
          <w:sz w:val="16"/>
        </w:rPr>
        <w:t>.</w:t>
      </w:r>
      <w:r w:rsidR="0078419C">
        <w:rPr>
          <w:sz w:val="16"/>
        </w:rPr>
        <w:t xml:space="preserve"> </w:t>
      </w:r>
      <w:r w:rsidRPr="00E54D36">
        <w:rPr>
          <w:sz w:val="16"/>
        </w:rPr>
        <w:t xml:space="preserve"> </w:t>
      </w:r>
      <w:r w:rsidRPr="00A60AED">
        <w:rPr>
          <w:i/>
          <w:sz w:val="16"/>
        </w:rPr>
        <w:t>National</w:t>
      </w:r>
      <w:proofErr w:type="gramEnd"/>
      <w:r w:rsidRPr="00A60AED">
        <w:rPr>
          <w:i/>
          <w:sz w:val="16"/>
        </w:rPr>
        <w:t xml:space="preserve"> survey of American attitudes on substance abuse XIV: Teens and parents</w:t>
      </w:r>
      <w:r w:rsidRPr="00E54D36">
        <w:rPr>
          <w:sz w:val="16"/>
        </w:rPr>
        <w:t xml:space="preserve">. </w:t>
      </w:r>
      <w:r w:rsidR="0078419C">
        <w:rPr>
          <w:sz w:val="16"/>
        </w:rPr>
        <w:t xml:space="preserve"> </w:t>
      </w:r>
      <w:r w:rsidRPr="00E54D36">
        <w:rPr>
          <w:sz w:val="16"/>
        </w:rPr>
        <w:t>New York, NY: The National Center on Addiction and Substance Abuse at Columbia University.</w:t>
      </w:r>
    </w:p>
    <w:p w14:paraId="61E3B937" w14:textId="668F7FD5" w:rsidR="00742484" w:rsidRPr="00E54D36" w:rsidRDefault="00742484" w:rsidP="00E54D36">
      <w:pPr>
        <w:rPr>
          <w:sz w:val="16"/>
        </w:rPr>
      </w:pPr>
      <w:r w:rsidRPr="00E54D36">
        <w:rPr>
          <w:sz w:val="16"/>
        </w:rPr>
        <w:t xml:space="preserve">6    </w:t>
      </w:r>
      <w:r w:rsidR="00871BDA" w:rsidRPr="00F82426">
        <w:rPr>
          <w:rFonts w:eastAsia="Times New Roman"/>
          <w:sz w:val="16"/>
          <w:szCs w:val="16"/>
        </w:rPr>
        <w:t xml:space="preserve">U.S. Department of Health and Human Services.  </w:t>
      </w:r>
      <w:r w:rsidR="00871BDA" w:rsidRPr="00F82426">
        <w:rPr>
          <w:rFonts w:eastAsia="Times New Roman"/>
          <w:i/>
          <w:sz w:val="16"/>
          <w:szCs w:val="16"/>
        </w:rPr>
        <w:t>The Surgeon General’s Call to Action to Prevent and Reduce Underage Drinking: A Guide to Action for Educators</w:t>
      </w:r>
      <w:r w:rsidR="00871BDA" w:rsidRPr="00F82426">
        <w:rPr>
          <w:rFonts w:eastAsia="Times New Roman"/>
          <w:sz w:val="16"/>
          <w:szCs w:val="16"/>
        </w:rPr>
        <w:t>.  U.S. Department of Health and Human Services, Office of the Surgeon General, 2007</w:t>
      </w:r>
      <w:proofErr w:type="gramStart"/>
      <w:r w:rsidR="00871BDA" w:rsidRPr="00F82426">
        <w:rPr>
          <w:rFonts w:eastAsia="Times New Roman"/>
          <w:sz w:val="16"/>
          <w:szCs w:val="16"/>
        </w:rPr>
        <w:t>.</w:t>
      </w:r>
      <w:r w:rsidRPr="00E54D36">
        <w:rPr>
          <w:sz w:val="16"/>
        </w:rPr>
        <w:t>.</w:t>
      </w:r>
      <w:proofErr w:type="gramEnd"/>
    </w:p>
    <w:p w14:paraId="78456B3D" w14:textId="48660705" w:rsidR="00742484" w:rsidRPr="00E54D36" w:rsidRDefault="00742484" w:rsidP="00E54D36">
      <w:pPr>
        <w:rPr>
          <w:sz w:val="16"/>
        </w:rPr>
      </w:pPr>
      <w:r w:rsidRPr="00E54D36">
        <w:rPr>
          <w:sz w:val="16"/>
        </w:rPr>
        <w:t xml:space="preserve">7    </w:t>
      </w:r>
      <w:r w:rsidR="00871BDA" w:rsidRPr="00F82426">
        <w:rPr>
          <w:rFonts w:eastAsia="Times New Roman"/>
          <w:sz w:val="16"/>
          <w:szCs w:val="16"/>
        </w:rPr>
        <w:t xml:space="preserve">Fergusson, D.M., and </w:t>
      </w:r>
      <w:proofErr w:type="spellStart"/>
      <w:r w:rsidR="00871BDA" w:rsidRPr="00F82426">
        <w:rPr>
          <w:rFonts w:eastAsia="Times New Roman"/>
          <w:sz w:val="16"/>
          <w:szCs w:val="16"/>
        </w:rPr>
        <w:t>Lynskey</w:t>
      </w:r>
      <w:proofErr w:type="spellEnd"/>
      <w:r w:rsidR="00871BDA" w:rsidRPr="00F82426">
        <w:rPr>
          <w:rFonts w:eastAsia="Times New Roman"/>
          <w:sz w:val="16"/>
          <w:szCs w:val="16"/>
        </w:rPr>
        <w:t>, M.T.  (1996)</w:t>
      </w:r>
      <w:proofErr w:type="gramStart"/>
      <w:r w:rsidR="00871BDA" w:rsidRPr="00F82426">
        <w:rPr>
          <w:rFonts w:eastAsia="Times New Roman"/>
          <w:sz w:val="16"/>
          <w:szCs w:val="16"/>
        </w:rPr>
        <w:t>.  Alcohol</w:t>
      </w:r>
      <w:proofErr w:type="gramEnd"/>
      <w:r w:rsidR="00871BDA" w:rsidRPr="00F82426">
        <w:rPr>
          <w:rFonts w:eastAsia="Times New Roman"/>
          <w:sz w:val="16"/>
          <w:szCs w:val="16"/>
        </w:rPr>
        <w:t xml:space="preserve"> misuse and adolescent sexual behaviors and risk taking.  </w:t>
      </w:r>
      <w:r w:rsidR="00871BDA" w:rsidRPr="00F82426">
        <w:rPr>
          <w:rFonts w:eastAsia="Times New Roman"/>
          <w:i/>
          <w:sz w:val="16"/>
          <w:szCs w:val="16"/>
        </w:rPr>
        <w:t>Pediatrics</w:t>
      </w:r>
      <w:r w:rsidR="00871BDA" w:rsidRPr="00F82426">
        <w:rPr>
          <w:rFonts w:eastAsia="Times New Roman"/>
          <w:sz w:val="16"/>
          <w:szCs w:val="16"/>
        </w:rPr>
        <w:t xml:space="preserve">, </w:t>
      </w:r>
      <w:r w:rsidR="00871BDA" w:rsidRPr="00F82426">
        <w:rPr>
          <w:rFonts w:eastAsia="Times New Roman"/>
          <w:i/>
          <w:sz w:val="16"/>
          <w:szCs w:val="16"/>
        </w:rPr>
        <w:t>98</w:t>
      </w:r>
      <w:r w:rsidR="00871BDA" w:rsidRPr="00F82426">
        <w:rPr>
          <w:rFonts w:eastAsia="Times New Roman"/>
          <w:sz w:val="16"/>
          <w:szCs w:val="16"/>
        </w:rPr>
        <w:t>(1), 91–96.</w:t>
      </w:r>
    </w:p>
    <w:p w14:paraId="1A2FF175" w14:textId="6CEA83CB" w:rsidR="00742484" w:rsidRPr="00E54D36" w:rsidRDefault="00742484" w:rsidP="00E54D36">
      <w:pPr>
        <w:rPr>
          <w:sz w:val="16"/>
        </w:rPr>
      </w:pPr>
      <w:r w:rsidRPr="00E54D36">
        <w:rPr>
          <w:sz w:val="16"/>
        </w:rPr>
        <w:t xml:space="preserve">8    </w:t>
      </w:r>
      <w:proofErr w:type="spellStart"/>
      <w:r w:rsidR="00871BDA" w:rsidRPr="00F82426">
        <w:rPr>
          <w:rFonts w:eastAsia="Times New Roman"/>
          <w:sz w:val="16"/>
          <w:szCs w:val="16"/>
        </w:rPr>
        <w:t>Tapert</w:t>
      </w:r>
      <w:proofErr w:type="spellEnd"/>
      <w:r w:rsidR="00871BDA" w:rsidRPr="00F82426">
        <w:rPr>
          <w:rFonts w:eastAsia="Times New Roman"/>
          <w:sz w:val="16"/>
          <w:szCs w:val="16"/>
        </w:rPr>
        <w:t xml:space="preserve">, S.F., Aarons, G.A., </w:t>
      </w:r>
      <w:proofErr w:type="spellStart"/>
      <w:r w:rsidR="00871BDA" w:rsidRPr="00F82426">
        <w:rPr>
          <w:rFonts w:eastAsia="Times New Roman"/>
          <w:sz w:val="16"/>
          <w:szCs w:val="16"/>
        </w:rPr>
        <w:t>Sedlar</w:t>
      </w:r>
      <w:proofErr w:type="spellEnd"/>
      <w:r w:rsidR="00871BDA" w:rsidRPr="00F82426">
        <w:rPr>
          <w:rFonts w:eastAsia="Times New Roman"/>
          <w:sz w:val="16"/>
          <w:szCs w:val="16"/>
        </w:rPr>
        <w:t>, G.R., and Brown, S.A.  (2001)</w:t>
      </w:r>
      <w:proofErr w:type="gramStart"/>
      <w:r w:rsidR="00871BDA" w:rsidRPr="00F82426">
        <w:rPr>
          <w:rFonts w:eastAsia="Times New Roman"/>
          <w:sz w:val="16"/>
          <w:szCs w:val="16"/>
        </w:rPr>
        <w:t>.  Adolescent</w:t>
      </w:r>
      <w:proofErr w:type="gramEnd"/>
      <w:r w:rsidR="00871BDA" w:rsidRPr="00F82426">
        <w:rPr>
          <w:rFonts w:eastAsia="Times New Roman"/>
          <w:sz w:val="16"/>
          <w:szCs w:val="16"/>
        </w:rPr>
        <w:t xml:space="preserve"> substance use and sexual risk-taking behavior.  </w:t>
      </w:r>
      <w:r w:rsidR="00871BDA" w:rsidRPr="00F82426">
        <w:rPr>
          <w:rFonts w:eastAsia="Times New Roman"/>
          <w:i/>
          <w:sz w:val="16"/>
          <w:szCs w:val="16"/>
        </w:rPr>
        <w:t>Journal of Adolescent Health</w:t>
      </w:r>
      <w:r w:rsidR="00871BDA" w:rsidRPr="00F82426">
        <w:rPr>
          <w:rFonts w:eastAsia="Times New Roman"/>
          <w:sz w:val="16"/>
          <w:szCs w:val="16"/>
        </w:rPr>
        <w:t xml:space="preserve">, </w:t>
      </w:r>
      <w:r w:rsidR="00871BDA" w:rsidRPr="00F82426">
        <w:rPr>
          <w:rFonts w:eastAsia="Times New Roman"/>
          <w:i/>
          <w:sz w:val="16"/>
          <w:szCs w:val="16"/>
        </w:rPr>
        <w:t>28</w:t>
      </w:r>
      <w:r w:rsidR="00871BDA" w:rsidRPr="00F82426">
        <w:rPr>
          <w:rFonts w:eastAsia="Times New Roman"/>
          <w:sz w:val="16"/>
          <w:szCs w:val="16"/>
        </w:rPr>
        <w:t>(3), 181–189.</w:t>
      </w:r>
    </w:p>
    <w:p w14:paraId="3C4ED75E" w14:textId="39E47AAF" w:rsidR="00742484" w:rsidRPr="00E54D36" w:rsidRDefault="00742484" w:rsidP="0078419C">
      <w:pPr>
        <w:rPr>
          <w:sz w:val="16"/>
        </w:rPr>
      </w:pPr>
      <w:proofErr w:type="gramStart"/>
      <w:r w:rsidRPr="00E54D36">
        <w:rPr>
          <w:sz w:val="16"/>
        </w:rPr>
        <w:t xml:space="preserve">9, 10   </w:t>
      </w:r>
      <w:r w:rsidR="0078419C">
        <w:rPr>
          <w:sz w:val="16"/>
        </w:rPr>
        <w:t xml:space="preserve"> </w:t>
      </w:r>
      <w:r w:rsidR="00871BDA" w:rsidRPr="00F82426">
        <w:rPr>
          <w:rFonts w:eastAsia="Times New Roman"/>
          <w:sz w:val="16"/>
          <w:szCs w:val="16"/>
        </w:rPr>
        <w:t>Bonnie, R.J., and O’Connell, M.E.</w:t>
      </w:r>
      <w:proofErr w:type="gramEnd"/>
      <w:r w:rsidR="00871BDA" w:rsidRPr="00F82426">
        <w:rPr>
          <w:rFonts w:eastAsia="Times New Roman"/>
          <w:sz w:val="16"/>
          <w:szCs w:val="16"/>
        </w:rPr>
        <w:t xml:space="preserve">  (Ed.).  (2004)</w:t>
      </w:r>
      <w:proofErr w:type="gramStart"/>
      <w:r w:rsidR="00871BDA" w:rsidRPr="00F82426">
        <w:rPr>
          <w:rFonts w:eastAsia="Times New Roman"/>
          <w:sz w:val="16"/>
          <w:szCs w:val="16"/>
        </w:rPr>
        <w:t xml:space="preserve">.  </w:t>
      </w:r>
      <w:r w:rsidR="00871BDA" w:rsidRPr="00F82426">
        <w:rPr>
          <w:rFonts w:eastAsia="Times New Roman"/>
          <w:i/>
          <w:sz w:val="16"/>
          <w:szCs w:val="16"/>
        </w:rPr>
        <w:t>Reducing</w:t>
      </w:r>
      <w:proofErr w:type="gramEnd"/>
      <w:r w:rsidR="00871BDA" w:rsidRPr="00F82426">
        <w:rPr>
          <w:rFonts w:eastAsia="Times New Roman"/>
          <w:i/>
          <w:sz w:val="16"/>
          <w:szCs w:val="16"/>
        </w:rPr>
        <w:t xml:space="preserve"> underage drinking: A collective responsibility</w:t>
      </w:r>
      <w:r w:rsidR="00871BDA" w:rsidRPr="00F82426">
        <w:rPr>
          <w:rFonts w:eastAsia="Times New Roman"/>
          <w:sz w:val="16"/>
          <w:szCs w:val="16"/>
        </w:rPr>
        <w:t xml:space="preserve">.  </w:t>
      </w:r>
      <w:proofErr w:type="gramStart"/>
      <w:r w:rsidR="00871BDA" w:rsidRPr="00F82426">
        <w:rPr>
          <w:rFonts w:eastAsia="Times New Roman"/>
          <w:sz w:val="16"/>
          <w:szCs w:val="16"/>
        </w:rPr>
        <w:t>National Research Council and Institute of Medicine.</w:t>
      </w:r>
      <w:proofErr w:type="gramEnd"/>
      <w:r w:rsidR="00871BDA" w:rsidRPr="00F82426">
        <w:rPr>
          <w:rFonts w:eastAsia="Times New Roman"/>
          <w:sz w:val="16"/>
          <w:szCs w:val="16"/>
        </w:rPr>
        <w:t xml:space="preserve">  Washington, DC: The National Academies Press.  From </w:t>
      </w:r>
      <w:hyperlink r:id="rId12" w:tooltip="Instutute of Medicine Website" w:history="1">
        <w:r w:rsidR="00871BDA" w:rsidRPr="00FF27AD">
          <w:rPr>
            <w:rStyle w:val="Hyperlink"/>
            <w:rFonts w:eastAsia="Times New Roman"/>
            <w:sz w:val="16"/>
            <w:szCs w:val="16"/>
          </w:rPr>
          <w:t>http://www.iom.edu/Reports/2003/Reducing-Underage-Drinking-A-Collective-Responsibility.aspx</w:t>
        </w:r>
      </w:hyperlink>
      <w:r w:rsidR="00871BDA">
        <w:rPr>
          <w:rFonts w:eastAsia="Times New Roman"/>
          <w:color w:val="363435"/>
          <w:sz w:val="16"/>
          <w:szCs w:val="16"/>
        </w:rPr>
        <w:t xml:space="preserve"> </w:t>
      </w:r>
      <w:r w:rsidR="00871BDA" w:rsidRPr="00377CE9">
        <w:rPr>
          <w:rFonts w:eastAsia="Times New Roman"/>
          <w:sz w:val="16"/>
          <w:szCs w:val="16"/>
        </w:rPr>
        <w:t>(accessed May 3, 2012).</w:t>
      </w:r>
    </w:p>
    <w:p w14:paraId="33F0D4F3" w14:textId="69A4AF3E" w:rsidR="00742484" w:rsidRPr="00E54D36" w:rsidRDefault="00742484" w:rsidP="0078419C">
      <w:pPr>
        <w:rPr>
          <w:sz w:val="16"/>
        </w:rPr>
      </w:pPr>
      <w:r w:rsidRPr="00E54D36">
        <w:rPr>
          <w:sz w:val="16"/>
        </w:rPr>
        <w:t>11</w:t>
      </w:r>
      <w:r w:rsidR="0078419C">
        <w:rPr>
          <w:sz w:val="16"/>
        </w:rPr>
        <w:t xml:space="preserve">    </w:t>
      </w:r>
      <w:proofErr w:type="spellStart"/>
      <w:r w:rsidR="00871BDA" w:rsidRPr="00F82426">
        <w:rPr>
          <w:rFonts w:eastAsia="Times New Roman"/>
          <w:sz w:val="16"/>
          <w:szCs w:val="16"/>
        </w:rPr>
        <w:t>Grunbaum</w:t>
      </w:r>
      <w:proofErr w:type="spellEnd"/>
      <w:r w:rsidR="00871BDA" w:rsidRPr="00F82426">
        <w:rPr>
          <w:rFonts w:eastAsia="Times New Roman"/>
          <w:sz w:val="16"/>
          <w:szCs w:val="16"/>
        </w:rPr>
        <w:t xml:space="preserve">, J.A., </w:t>
      </w:r>
      <w:proofErr w:type="spellStart"/>
      <w:r w:rsidR="00871BDA" w:rsidRPr="00F82426">
        <w:rPr>
          <w:rFonts w:eastAsia="Times New Roman"/>
          <w:sz w:val="16"/>
          <w:szCs w:val="16"/>
        </w:rPr>
        <w:t>Kann</w:t>
      </w:r>
      <w:proofErr w:type="spellEnd"/>
      <w:r w:rsidR="00871BDA" w:rsidRPr="00F82426">
        <w:rPr>
          <w:rFonts w:eastAsia="Times New Roman"/>
          <w:sz w:val="16"/>
          <w:szCs w:val="16"/>
        </w:rPr>
        <w:t xml:space="preserve">, L., </w:t>
      </w:r>
      <w:proofErr w:type="spellStart"/>
      <w:r w:rsidR="00871BDA" w:rsidRPr="00F82426">
        <w:rPr>
          <w:rFonts w:eastAsia="Times New Roman"/>
          <w:sz w:val="16"/>
          <w:szCs w:val="16"/>
        </w:rPr>
        <w:t>Kinchen</w:t>
      </w:r>
      <w:proofErr w:type="spellEnd"/>
      <w:r w:rsidR="00871BDA" w:rsidRPr="00F82426">
        <w:rPr>
          <w:rFonts w:eastAsia="Times New Roman"/>
          <w:sz w:val="16"/>
          <w:szCs w:val="16"/>
        </w:rPr>
        <w:t xml:space="preserve">, S., Ross, J., Hawkins, J., Lowry, R., et al.  (2004, May 21).  Youth risk behavior surveillance—United States, 2003.  </w:t>
      </w:r>
      <w:r w:rsidR="00871BDA" w:rsidRPr="00F82426">
        <w:rPr>
          <w:rFonts w:eastAsia="Times New Roman"/>
          <w:i/>
          <w:sz w:val="16"/>
          <w:szCs w:val="16"/>
        </w:rPr>
        <w:t>Morbidity and Mortality Weekly Report Surveillance Summaries</w:t>
      </w:r>
      <w:r w:rsidR="00871BDA" w:rsidRPr="00F82426">
        <w:rPr>
          <w:rFonts w:eastAsia="Times New Roman"/>
          <w:sz w:val="16"/>
          <w:szCs w:val="16"/>
        </w:rPr>
        <w:t xml:space="preserve">.  </w:t>
      </w:r>
      <w:r w:rsidR="00871BDA">
        <w:rPr>
          <w:rFonts w:eastAsia="Times New Roman"/>
          <w:sz w:val="16"/>
          <w:szCs w:val="16"/>
        </w:rPr>
        <w:t xml:space="preserve">Atlanta, GA: Centers for Disease Control and Prevention. </w:t>
      </w:r>
      <w:r w:rsidR="00871BDA" w:rsidRPr="00F82426">
        <w:rPr>
          <w:rFonts w:eastAsia="Times New Roman"/>
          <w:sz w:val="16"/>
          <w:szCs w:val="16"/>
        </w:rPr>
        <w:t xml:space="preserve">From </w:t>
      </w:r>
      <w:hyperlink r:id="rId13" w:tooltip="CDC Website" w:history="1">
        <w:r w:rsidR="00871BDA" w:rsidRPr="00FF27AD">
          <w:rPr>
            <w:rStyle w:val="Hyperlink"/>
            <w:rFonts w:eastAsia="Times New Roman"/>
            <w:sz w:val="16"/>
            <w:szCs w:val="16"/>
          </w:rPr>
          <w:t>http://www.cdc.gov/mmwr/preview/mmwrhtml/ss5302a1.htm</w:t>
        </w:r>
      </w:hyperlink>
      <w:bookmarkStart w:id="0" w:name="_GoBack"/>
      <w:bookmarkEnd w:id="0"/>
      <w:r w:rsidR="00871BDA">
        <w:rPr>
          <w:rFonts w:eastAsia="Times New Roman"/>
          <w:color w:val="363435"/>
          <w:sz w:val="16"/>
          <w:szCs w:val="16"/>
        </w:rPr>
        <w:t xml:space="preserve"> </w:t>
      </w:r>
      <w:r w:rsidR="00871BDA" w:rsidRPr="00F82426">
        <w:rPr>
          <w:rFonts w:eastAsia="Times New Roman"/>
          <w:sz w:val="16"/>
          <w:szCs w:val="16"/>
        </w:rPr>
        <w:t>(accessed May 3, 2012).</w:t>
      </w:r>
    </w:p>
    <w:sectPr w:rsidR="00742484" w:rsidRPr="00E54D36" w:rsidSect="00FE09DC">
      <w:headerReference w:type="default" r:id="rId14"/>
      <w:footerReference w:type="default" r:id="rId15"/>
      <w:footerReference w:type="first" r:id="rId16"/>
      <w:pgSz w:w="12240" w:h="15840"/>
      <w:pgMar w:top="634" w:right="1800" w:bottom="2261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FB19F" w14:textId="77777777" w:rsidR="00CE20C1" w:rsidRDefault="00CE20C1" w:rsidP="00EA7202">
      <w:pPr>
        <w:spacing w:before="0" w:after="0"/>
      </w:pPr>
      <w:r>
        <w:separator/>
      </w:r>
    </w:p>
  </w:endnote>
  <w:endnote w:type="continuationSeparator" w:id="0">
    <w:p w14:paraId="678DDCEB" w14:textId="77777777" w:rsidR="00CE20C1" w:rsidRDefault="00CE20C1" w:rsidP="00EA7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607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8497" w14:textId="7FE49EC0" w:rsidR="00A91CA0" w:rsidRDefault="00A91C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5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D3D4B6" w14:textId="6C6C1C60" w:rsidR="00A91CA0" w:rsidRDefault="00A91CA0" w:rsidP="000F0A46">
    <w:pPr>
      <w:pStyle w:val="TopLogo"/>
      <w:tabs>
        <w:tab w:val="left" w:pos="536"/>
        <w:tab w:val="right" w:pos="9274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4E86" w14:textId="7C36EF49" w:rsidR="00A91CA0" w:rsidRDefault="00A91CA0" w:rsidP="00E244E5">
    <w:pPr>
      <w:pStyle w:val="Footer"/>
      <w:tabs>
        <w:tab w:val="clear" w:pos="4320"/>
        <w:tab w:val="clear" w:pos="8640"/>
        <w:tab w:val="left" w:pos="5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78A02" w14:textId="77777777" w:rsidR="00CE20C1" w:rsidRDefault="00CE20C1" w:rsidP="00EA7202">
      <w:pPr>
        <w:spacing w:before="0" w:after="0"/>
      </w:pPr>
      <w:r>
        <w:separator/>
      </w:r>
    </w:p>
  </w:footnote>
  <w:footnote w:type="continuationSeparator" w:id="0">
    <w:p w14:paraId="546F70ED" w14:textId="77777777" w:rsidR="00CE20C1" w:rsidRDefault="00CE20C1" w:rsidP="00EA7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4ADA" w14:textId="1FC74360" w:rsidR="00A91CA0" w:rsidRDefault="00A12F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3EE17D" wp14:editId="22AB04E1">
              <wp:simplePos x="0" y="0"/>
              <wp:positionH relativeFrom="column">
                <wp:posOffset>-791845</wp:posOffset>
              </wp:positionH>
              <wp:positionV relativeFrom="paragraph">
                <wp:posOffset>395605</wp:posOffset>
              </wp:positionV>
              <wp:extent cx="6972300" cy="233045"/>
              <wp:effectExtent l="0" t="0" r="0" b="0"/>
              <wp:wrapSquare wrapText="bothSides"/>
              <wp:docPr id="8" name="Text Box 8" descr="Figu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33045"/>
                      </a:xfrm>
                      <a:prstGeom prst="rect">
                        <a:avLst/>
                      </a:prstGeom>
                      <a:solidFill>
                        <a:srgbClr val="83171A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0A8F3" w14:textId="77777777" w:rsidR="00A12F4C" w:rsidRPr="00847B06" w:rsidRDefault="00A12F4C" w:rsidP="00A12F4C">
                          <w:pPr>
                            <w:pStyle w:val="Main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Description: Figure" style="position:absolute;left:0;text-align:left;margin-left:-62.35pt;margin-top:31.15pt;width:549pt;height:1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" fillcolor="#83171a" stroked="f">
              <v:textbox inset="14.4pt,,14.4pt">
                <w:txbxContent>
                  <w:p w14:paraId="3380A8F3" w14:textId="77777777" w:rsidR="00A12F4C" w:rsidRPr="00847B06" w:rsidRDefault="00A12F4C" w:rsidP="00A12F4C">
                    <w:pPr>
                      <w:pStyle w:val="MainHead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91CA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A6B6A" wp14:editId="1F0CB28B">
              <wp:simplePos x="0" y="0"/>
              <wp:positionH relativeFrom="column">
                <wp:posOffset>-114300</wp:posOffset>
              </wp:positionH>
              <wp:positionV relativeFrom="paragraph">
                <wp:posOffset>628650</wp:posOffset>
              </wp:positionV>
              <wp:extent cx="6515100" cy="228600"/>
              <wp:effectExtent l="0" t="0" r="12700" b="0"/>
              <wp:wrapSquare wrapText="bothSides"/>
              <wp:docPr id="7" name="Text Box 7" descr="Figu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DBE2F" w14:textId="0C2D0218" w:rsidR="00E244E5" w:rsidRPr="00847B06" w:rsidRDefault="00E244E5" w:rsidP="00E54D36">
                          <w:pPr>
                            <w:pStyle w:val="Second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alt="Description: Figure" style="position:absolute;left:0;text-align:left;margin-left:-9pt;margin-top:49.5pt;width:513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" fillcolor="black [3213]" stroked="f">
              <v:textbox inset="14.4pt,,14.4pt">
                <w:txbxContent>
                  <w:p w14:paraId="0ACDBE2F" w14:textId="0C2D0218" w:rsidR="00E244E5" w:rsidRPr="00847B06" w:rsidRDefault="00E244E5" w:rsidP="00E54D36">
                    <w:pPr>
                      <w:pStyle w:val="SecondHead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56"/>
    <w:multiLevelType w:val="hybridMultilevel"/>
    <w:tmpl w:val="BE44F1A2"/>
    <w:lvl w:ilvl="0" w:tplc="5E0A1344">
      <w:start w:val="1"/>
      <w:numFmt w:val="bullet"/>
      <w:pStyle w:val="Bullet1"/>
      <w:lvlText w:val="»"/>
      <w:lvlJc w:val="left"/>
      <w:pPr>
        <w:ind w:left="1008" w:hanging="288"/>
      </w:pPr>
      <w:rPr>
        <w:rFonts w:ascii="Arial" w:hAnsi="Arial" w:hint="default"/>
        <w:color w:val="7222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A5C91"/>
    <w:multiLevelType w:val="hybridMultilevel"/>
    <w:tmpl w:val="F710B572"/>
    <w:lvl w:ilvl="0" w:tplc="7C3C978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09FD652A"/>
    <w:multiLevelType w:val="multilevel"/>
    <w:tmpl w:val="F710B572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>
    <w:nsid w:val="311F3B98"/>
    <w:multiLevelType w:val="multilevel"/>
    <w:tmpl w:val="BAB8957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>
    <w:nsid w:val="351474E9"/>
    <w:multiLevelType w:val="hybridMultilevel"/>
    <w:tmpl w:val="B33C7CE8"/>
    <w:lvl w:ilvl="0" w:tplc="B846E64E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685F"/>
    <w:multiLevelType w:val="hybridMultilevel"/>
    <w:tmpl w:val="C4F2F322"/>
    <w:lvl w:ilvl="0" w:tplc="21B6C0BE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>
    <w:nsid w:val="4E05551C"/>
    <w:multiLevelType w:val="hybridMultilevel"/>
    <w:tmpl w:val="618A6876"/>
    <w:lvl w:ilvl="0" w:tplc="7CC2B3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>
    <w:nsid w:val="52BD70B1"/>
    <w:multiLevelType w:val="multilevel"/>
    <w:tmpl w:val="C4F2F322"/>
    <w:lvl w:ilvl="0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>
    <w:nsid w:val="5A6B74E5"/>
    <w:multiLevelType w:val="multilevel"/>
    <w:tmpl w:val="8D127CAE"/>
    <w:lvl w:ilvl="0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>
    <w:nsid w:val="5AE95F64"/>
    <w:multiLevelType w:val="hybridMultilevel"/>
    <w:tmpl w:val="8D127CAE"/>
    <w:lvl w:ilvl="0" w:tplc="E7E28C66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0">
    <w:nsid w:val="5B075916"/>
    <w:multiLevelType w:val="hybridMultilevel"/>
    <w:tmpl w:val="DDE2E612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>
    <w:nsid w:val="63D82C57"/>
    <w:multiLevelType w:val="hybridMultilevel"/>
    <w:tmpl w:val="EDEE6390"/>
    <w:lvl w:ilvl="0" w:tplc="E6E81588">
      <w:start w:val="1"/>
      <w:numFmt w:val="bullet"/>
      <w:pStyle w:val="Bullet2"/>
      <w:lvlText w:val="–"/>
      <w:lvlJc w:val="left"/>
      <w:pPr>
        <w:ind w:left="1440" w:hanging="360"/>
      </w:pPr>
      <w:rPr>
        <w:rFonts w:ascii="Arial Narrow" w:hAnsi="Arial Narrow" w:hint="default"/>
        <w:color w:val="722226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2">
    <w:nsid w:val="6A297611"/>
    <w:multiLevelType w:val="hybridMultilevel"/>
    <w:tmpl w:val="8DA095D6"/>
    <w:lvl w:ilvl="0" w:tplc="3B44271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3">
    <w:nsid w:val="755043DD"/>
    <w:multiLevelType w:val="multilevel"/>
    <w:tmpl w:val="8DA095D6"/>
    <w:lvl w:ilvl="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>
    <w:nsid w:val="79057B32"/>
    <w:multiLevelType w:val="multilevel"/>
    <w:tmpl w:val="B33C7CE8"/>
    <w:lvl w:ilvl="0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11C29"/>
    <w:multiLevelType w:val="multilevel"/>
    <w:tmpl w:val="98E2908C"/>
    <w:lvl w:ilvl="0">
      <w:start w:val="1"/>
      <w:numFmt w:val="bullet"/>
      <w:lvlText w:val="»"/>
      <w:lvlJc w:val="left"/>
      <w:pPr>
        <w:ind w:left="288" w:hanging="288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11"/>
  </w:num>
  <w:num w:numId="18">
    <w:abstractNumId w:val="1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06"/>
    <w:rsid w:val="000F0A46"/>
    <w:rsid w:val="0010344A"/>
    <w:rsid w:val="00120E1D"/>
    <w:rsid w:val="00170FE6"/>
    <w:rsid w:val="001F06DF"/>
    <w:rsid w:val="00213571"/>
    <w:rsid w:val="0024150D"/>
    <w:rsid w:val="00303667"/>
    <w:rsid w:val="00396627"/>
    <w:rsid w:val="004516D5"/>
    <w:rsid w:val="004C03D1"/>
    <w:rsid w:val="004E0552"/>
    <w:rsid w:val="00535A73"/>
    <w:rsid w:val="00621E65"/>
    <w:rsid w:val="00630948"/>
    <w:rsid w:val="006842EA"/>
    <w:rsid w:val="0069754D"/>
    <w:rsid w:val="00742484"/>
    <w:rsid w:val="00773DCD"/>
    <w:rsid w:val="0078419C"/>
    <w:rsid w:val="007E109C"/>
    <w:rsid w:val="00847B06"/>
    <w:rsid w:val="00860FCC"/>
    <w:rsid w:val="00871BDA"/>
    <w:rsid w:val="0087629D"/>
    <w:rsid w:val="008778D7"/>
    <w:rsid w:val="009D2FCC"/>
    <w:rsid w:val="00A07A38"/>
    <w:rsid w:val="00A12F4C"/>
    <w:rsid w:val="00A60AED"/>
    <w:rsid w:val="00A91CA0"/>
    <w:rsid w:val="00A94D65"/>
    <w:rsid w:val="00AC694A"/>
    <w:rsid w:val="00AD6345"/>
    <w:rsid w:val="00B814F0"/>
    <w:rsid w:val="00B83CCF"/>
    <w:rsid w:val="00CD2873"/>
    <w:rsid w:val="00CE20C1"/>
    <w:rsid w:val="00E244E5"/>
    <w:rsid w:val="00E54D36"/>
    <w:rsid w:val="00E62650"/>
    <w:rsid w:val="00E92A5D"/>
    <w:rsid w:val="00EA7202"/>
    <w:rsid w:val="00F75953"/>
    <w:rsid w:val="00FE09DC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81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E54D36"/>
    <w:pPr>
      <w:pBdr>
        <w:bottom w:val="single" w:sz="4" w:space="0" w:color="auto"/>
      </w:pBdr>
    </w:pPr>
    <w:rPr>
      <w:b/>
      <w:bCs/>
      <w:sz w:val="24"/>
      <w:szCs w:val="28"/>
    </w:rPr>
  </w:style>
  <w:style w:type="paragraph" w:customStyle="1" w:styleId="ThirdHeader">
    <w:name w:val="Third Header"/>
    <w:next w:val="Normal"/>
    <w:autoRedefine/>
    <w:qFormat/>
    <w:rsid w:val="00AD6345"/>
    <w:pPr>
      <w:spacing w:before="480" w:after="24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A94D65"/>
    <w:pPr>
      <w:numPr>
        <w:numId w:val="13"/>
      </w:numPr>
      <w:spacing w:before="120" w:after="120"/>
      <w:ind w:left="720" w:right="-634" w:hanging="360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170FE6"/>
    <w:pPr>
      <w:numPr>
        <w:numId w:val="17"/>
      </w:numPr>
    </w:p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841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19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BD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BDA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1BD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E54D36"/>
    <w:pPr>
      <w:pBdr>
        <w:bottom w:val="single" w:sz="4" w:space="0" w:color="auto"/>
      </w:pBdr>
    </w:pPr>
    <w:rPr>
      <w:b/>
      <w:bCs/>
      <w:sz w:val="24"/>
      <w:szCs w:val="28"/>
    </w:rPr>
  </w:style>
  <w:style w:type="paragraph" w:customStyle="1" w:styleId="ThirdHeader">
    <w:name w:val="Third Header"/>
    <w:next w:val="Normal"/>
    <w:autoRedefine/>
    <w:qFormat/>
    <w:rsid w:val="00AD6345"/>
    <w:pPr>
      <w:spacing w:before="480" w:after="24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A94D65"/>
    <w:pPr>
      <w:numPr>
        <w:numId w:val="13"/>
      </w:numPr>
      <w:spacing w:before="120" w:after="120"/>
      <w:ind w:left="720" w:right="-634" w:hanging="360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170FE6"/>
    <w:pPr>
      <w:numPr>
        <w:numId w:val="17"/>
      </w:numPr>
    </w:p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841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19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BD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BDA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1BD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c.gov/mmwr/preview/mmwrhtml/ss5302a1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om.edu/Reports/2003/Reducing-Underage-Drinking-A-Collective-Responsibility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mmwr/preview/mmwrhtml/ss5905a1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nderagedrinking.samhsa.g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1C76A-94B6-4F92-B5E3-2CE5F7DB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Hardin, Molly</dc:creator>
  <cp:lastModifiedBy>Kyana Washington</cp:lastModifiedBy>
  <cp:revision>2</cp:revision>
  <cp:lastPrinted>2012-11-16T20:45:00Z</cp:lastPrinted>
  <dcterms:created xsi:type="dcterms:W3CDTF">2013-05-02T20:29:00Z</dcterms:created>
  <dcterms:modified xsi:type="dcterms:W3CDTF">2013-05-02T20:29:00Z</dcterms:modified>
</cp:coreProperties>
</file>